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ind w:left="142" w:right="394" w:firstLine="0"/>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23 (HMRC Terms)</w:t>
      </w:r>
    </w:p>
    <w:p w:rsidR="00000000" w:rsidDel="00000000" w:rsidP="00000000" w:rsidRDefault="00000000" w:rsidRPr="00000000" w14:paraId="00000002">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93"/>
        </w:tabs>
        <w:spacing w:after="24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8918.0" w:type="dxa"/>
        <w:jc w:val="left"/>
        <w:tblInd w:w="108.0" w:type="dxa"/>
        <w:tblLayout w:type="fixed"/>
        <w:tblLook w:val="0000"/>
      </w:tblPr>
      <w:tblGrid>
        <w:gridCol w:w="2292"/>
        <w:gridCol w:w="6626"/>
        <w:tblGridChange w:id="0">
          <w:tblGrid>
            <w:gridCol w:w="2292"/>
            <w:gridCol w:w="6626"/>
          </w:tblGrid>
        </w:tblGridChange>
      </w:tblGrid>
      <w:tr>
        <w:trPr>
          <w:cantSplit w:val="0"/>
          <w:tblHeader w:val="0"/>
        </w:trPr>
        <w:tc>
          <w:tcPr/>
          <w:p w:rsidR="00000000" w:rsidDel="00000000" w:rsidP="00000000" w:rsidRDefault="00000000" w:rsidRPr="00000000" w14:paraId="0000000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6">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9">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0">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1">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2">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13">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4">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5">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6">
            <w:pPr>
              <w:spacing w:after="240" w:line="240" w:lineRule="auto"/>
              <w:ind w:left="2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7">
            <w:pPr>
              <w:tabs>
                <w:tab w:val="left" w:leader="none"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75"/>
              </w:tabs>
              <w:spacing w:after="0" w:before="0" w:line="240" w:lineRule="auto"/>
              <w:ind w:left="40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0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40" w:before="0" w:line="240" w:lineRule="auto"/>
              <w:ind w:left="405"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“Essential Subcontractor” means any Key Subcontractor.</w:t>
            </w:r>
          </w:p>
        </w:tc>
      </w:tr>
    </w:tbl>
    <w:p w:rsidR="00000000" w:rsidDel="00000000" w:rsidP="00000000" w:rsidRDefault="00000000" w:rsidRPr="00000000" w14:paraId="0000001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bookmarkStart w:colFirst="0" w:colLast="0" w:name="_heading=h.30j0zll" w:id="1"/>
      <w:bookmarkEnd w:id="1"/>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1C">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Core Terms are modified in respect of that Call-Off Contract (but are not modified in respect of the Framework Contract):</w:t>
      </w:r>
    </w:p>
    <w:p w:rsidR="00000000" w:rsidDel="00000000" w:rsidP="00000000" w:rsidRDefault="00000000" w:rsidRPr="00000000" w14:paraId="0000001D">
      <w:pPr>
        <w:spacing w:after="0" w:lineRule="auto"/>
        <w:rPr/>
      </w:pPr>
      <w:r w:rsidDel="00000000" w:rsidR="00000000" w:rsidRPr="00000000">
        <w:rPr>
          <w:rtl w:val="0"/>
        </w:rPr>
      </w:r>
    </w:p>
    <w:p w:rsidR="00000000" w:rsidDel="00000000" w:rsidP="00000000" w:rsidRDefault="00000000" w:rsidRPr="00000000" w14:paraId="0000001E">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Clauses 31.1, 31.2, 31.3 and 31.4(d) of the Core Terms do not apply to that Call-Off Contract, but for the avoidance of doubt, the remainder of Clause 31.4 of the Core Terms shall continue to apply to the Call-Off Contract; and</w:t>
      </w:r>
    </w:p>
    <w:p w:rsidR="00000000" w:rsidDel="00000000" w:rsidP="00000000" w:rsidRDefault="00000000" w:rsidRPr="00000000" w14:paraId="0000001F">
      <w:pPr>
        <w:pStyle w:val="Heading2"/>
        <w:keepNext w:val="0"/>
        <w:keepLines w:val="0"/>
        <w:numPr>
          <w:ilvl w:val="2"/>
          <w:numId w:val="1"/>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Clause 7.2 of the Core Terms does not apply to that Call-Off Contract.</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Joint Schedules are modified in respect of that Call-Off Contract (but are not disapplied in respect of the Framework Contract):</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Call-Off Contract; and</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pStyle w:val="Heading2"/>
        <w:keepNext w:val="0"/>
        <w:keepLines w:val="0"/>
        <w:numPr>
          <w:ilvl w:val="2"/>
          <w:numId w:val="1"/>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5(d) of Joint Schedule 11 (Processing Data) does not apply to that Call-Off Contract.</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8">
      <w:pPr>
        <w:pStyle w:val="Heading2"/>
        <w:keepNext w:val="0"/>
        <w:keepLines w:val="0"/>
        <w:numPr>
          <w:ilvl w:val="1"/>
          <w:numId w:val="1"/>
        </w:numPr>
        <w:spacing w:line="240" w:lineRule="auto"/>
        <w:ind w:left="792" w:hanging="432"/>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Framework Special Terms or any Call-Off Special Terms. </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Style w:val="Heading2"/>
        <w:keepNext w:val="0"/>
        <w:keepLines w:val="0"/>
        <w:numPr>
          <w:ilvl w:val="1"/>
          <w:numId w:val="1"/>
        </w:numPr>
        <w:spacing w:after="240" w:before="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2B">
      <w:pPr>
        <w:pStyle w:val="Heading2"/>
        <w:keepNext w:val="0"/>
        <w:keepLines w:val="0"/>
        <w:numPr>
          <w:ilvl w:val="2"/>
          <w:numId w:val="1"/>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2C">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2D">
      <w:pPr>
        <w:pStyle w:val="Heading2"/>
        <w:keepNext w:val="0"/>
        <w:keepLines w:val="0"/>
        <w:numPr>
          <w:ilvl w:val="1"/>
          <w:numId w:val="1"/>
        </w:numPr>
        <w:spacing w:after="240" w:before="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Framework Special Term or Call-Off Special Term, as directed by the Buyer from time to time, either: </w:t>
      </w:r>
      <w:r w:rsidDel="00000000" w:rsidR="00000000" w:rsidRPr="00000000">
        <w:rPr>
          <w:rtl w:val="0"/>
        </w:rPr>
      </w:r>
    </w:p>
    <w:p w:rsidR="00000000" w:rsidDel="00000000" w:rsidP="00000000" w:rsidRDefault="00000000" w:rsidRPr="00000000" w14:paraId="0000002E">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2F">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30">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1">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32">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3">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34">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35">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36">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37">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8">
      <w:pPr>
        <w:pStyle w:val="Heading2"/>
        <w:keepNext w:val="0"/>
        <w:keepLines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9">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A">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3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C">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D">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r w:rsidDel="00000000" w:rsidR="00000000" w:rsidRPr="00000000">
        <w:rPr>
          <w:rtl w:val="0"/>
        </w:rPr>
      </w:r>
    </w:p>
    <w:p w:rsidR="00000000" w:rsidDel="00000000" w:rsidP="00000000" w:rsidRDefault="00000000" w:rsidRPr="00000000" w14:paraId="0000003E">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3F">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If, at any point during the Call-Off Contract Period, there is a Tax Compliance Failure, the Supplier shall:</w:t>
      </w:r>
      <w:r w:rsidDel="00000000" w:rsidR="00000000" w:rsidRPr="00000000">
        <w:rPr>
          <w:rtl w:val="0"/>
        </w:rPr>
      </w:r>
    </w:p>
    <w:p w:rsidR="00000000" w:rsidDel="00000000" w:rsidP="00000000" w:rsidRDefault="00000000" w:rsidRPr="00000000" w14:paraId="00000040">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41">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42">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43">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44">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p>
    <w:p w:rsidR="00000000" w:rsidDel="00000000" w:rsidP="00000000" w:rsidRDefault="00000000" w:rsidRPr="00000000" w14:paraId="00000045">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46">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7">
      <w:pPr>
        <w:pStyle w:val="Heading2"/>
        <w:keepNext w:val="0"/>
        <w:keepLines w:val="0"/>
        <w:numPr>
          <w:ilvl w:val="1"/>
          <w:numId w:val="1"/>
        </w:numPr>
        <w:spacing w:after="24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48">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Contract; </w:t>
      </w:r>
    </w:p>
    <w:p w:rsidR="00000000" w:rsidDel="00000000" w:rsidP="00000000" w:rsidRDefault="00000000" w:rsidRPr="00000000" w14:paraId="00000049">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p>
    <w:p w:rsidR="00000000" w:rsidDel="00000000" w:rsidP="00000000" w:rsidRDefault="00000000" w:rsidRPr="00000000" w14:paraId="0000004A">
      <w:pPr>
        <w:pStyle w:val="Heading2"/>
        <w:keepNext w:val="0"/>
        <w:keepLines w:val="0"/>
        <w:numPr>
          <w:ilvl w:val="2"/>
          <w:numId w:val="1"/>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Contract;</w:t>
      </w:r>
    </w:p>
    <w:p w:rsidR="00000000" w:rsidDel="00000000" w:rsidP="00000000" w:rsidRDefault="00000000" w:rsidRPr="00000000" w14:paraId="0000004B">
      <w:pPr>
        <w:pStyle w:val="Heading2"/>
        <w:keepNext w:val="0"/>
        <w:keepLines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Contract had been terminated under Clause 10.4.1.</w:t>
      </w:r>
    </w:p>
    <w:p w:rsidR="00000000" w:rsidDel="00000000" w:rsidP="00000000" w:rsidRDefault="00000000" w:rsidRPr="00000000" w14:paraId="0000004C">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D">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bookmarkStart w:colFirst="0" w:colLast="0" w:name="_heading=h.35nkun2" w:id="14"/>
      <w:bookmarkEnd w:id="14"/>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E">
      <w:pPr>
        <w:pStyle w:val="Heading2"/>
        <w:keepNext w:val="0"/>
        <w:keepLines w:val="0"/>
        <w:numPr>
          <w:ilvl w:val="1"/>
          <w:numId w:val="1"/>
        </w:numPr>
        <w:spacing w:after="240" w:line="240" w:lineRule="auto"/>
        <w:ind w:left="792" w:hanging="432"/>
        <w:jc w:val="both"/>
        <w:rPr>
          <w:rFonts w:ascii="Arial" w:cs="Arial" w:eastAsia="Arial" w:hAnsi="Arial"/>
          <w:b w:val="1"/>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4F">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50">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51">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52">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3">
      <w:pPr>
        <w:pStyle w:val="Heading2"/>
        <w:keepNext w:val="0"/>
        <w:keepLines w:val="0"/>
        <w:numPr>
          <w:ilvl w:val="1"/>
          <w:numId w:val="1"/>
        </w:numPr>
        <w:spacing w:after="240" w:line="240" w:lineRule="auto"/>
        <w:ind w:left="792" w:hanging="432"/>
        <w:jc w:val="both"/>
        <w:rPr>
          <w:rFonts w:ascii="Arial" w:cs="Arial" w:eastAsia="Arial" w:hAnsi="Arial"/>
          <w:sz w:val="24"/>
          <w:szCs w:val="24"/>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54">
      <w:pPr>
        <w:pStyle w:val="Heading2"/>
        <w:keepNext w:val="0"/>
        <w:keepLines w:val="0"/>
        <w:numPr>
          <w:ilvl w:val="2"/>
          <w:numId w:val="1"/>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5">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GDPR Article 46 or LED Article 37) as determined by the Controller;</w:t>
      </w:r>
      <w:r w:rsidDel="00000000" w:rsidR="00000000" w:rsidRPr="00000000">
        <w:rPr>
          <w:rtl w:val="0"/>
        </w:rPr>
      </w:r>
    </w:p>
    <w:p w:rsidR="00000000" w:rsidDel="00000000" w:rsidP="00000000" w:rsidRDefault="00000000" w:rsidRPr="00000000" w14:paraId="00000056">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7">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8">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9">
      <w:pPr>
        <w:pStyle w:val="Heading2"/>
        <w:keepNext w:val="0"/>
        <w:keepLines w:val="0"/>
        <w:numPr>
          <w:ilvl w:val="1"/>
          <w:numId w:val="1"/>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r w:rsidDel="00000000" w:rsidR="00000000" w:rsidRPr="00000000">
        <w:rPr>
          <w:rtl w:val="0"/>
        </w:rPr>
      </w:r>
    </w:p>
    <w:p w:rsidR="00000000" w:rsidDel="00000000" w:rsidP="00000000" w:rsidRDefault="00000000" w:rsidRPr="00000000" w14:paraId="0000005A">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b w:val="1"/>
          <w:sz w:val="24"/>
          <w:szCs w:val="24"/>
        </w:rPr>
      </w:pPr>
      <w:bookmarkStart w:colFirst="0" w:colLast="0" w:name="_heading=h.3j2qqm3" w:id="19"/>
      <w:bookmarkEnd w:id="19"/>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B">
      <w:pPr>
        <w:pStyle w:val="Heading2"/>
        <w:keepNext w:val="0"/>
        <w:keepLines w:val="0"/>
        <w:numPr>
          <w:ilvl w:val="1"/>
          <w:numId w:val="1"/>
        </w:numPr>
        <w:spacing w:after="240" w:line="240" w:lineRule="auto"/>
        <w:ind w:left="851" w:hanging="709"/>
        <w:jc w:val="both"/>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C">
      <w:pPr>
        <w:pStyle w:val="Heading2"/>
        <w:keepNext w:val="0"/>
        <w:keepLines w:val="0"/>
        <w:numPr>
          <w:ilvl w:val="1"/>
          <w:numId w:val="1"/>
        </w:numPr>
        <w:spacing w:after="240" w:line="240" w:lineRule="auto"/>
        <w:ind w:left="851"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5D">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E">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5F">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60">
      <w:pPr>
        <w:pStyle w:val="Heading2"/>
        <w:keepNext w:val="0"/>
        <w:keepLines w:val="0"/>
        <w:numPr>
          <w:ilvl w:val="1"/>
          <w:numId w:val="1"/>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61">
      <w:pPr>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one (An in-scope entity or person)</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a person or entity which is either: (“X”)</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4" w:right="0" w:firstLine="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or Essential Subcontractor (EOS)</w:t>
      </w:r>
    </w:p>
    <w:p w:rsidR="00000000" w:rsidDel="00000000" w:rsidP="00000000" w:rsidRDefault="00000000" w:rsidRPr="00000000" w14:paraId="0000006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IFRS 10 Consolidated Financial Accounts</w:t>
      </w:r>
      <w:r w:rsidDel="00000000" w:rsidR="00000000" w:rsidRPr="00000000">
        <w:rPr>
          <w:rFonts w:ascii="Arial" w:cs="Arial" w:eastAsia="Arial" w:hAnsi="Arial"/>
          <w:b w:val="0"/>
          <w:i w:val="1"/>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 has been engaged in one or more of the following:</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Fraudulent evasion</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General Anti-Abuse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Halifax Abuse principle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arrangements caught by a DOTAS or VADR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a recognised ‘anti-avoidance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5"/>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7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an avoidance scheme identified by HMRC’s published Spotlights list</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6"/>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Engaged in conduct which falls under rules in other jurisdictions which are equivalent or similar to (a) to (f) above.</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X’s activity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where applicable, subject to dispute and/or litigation as follows: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either X:</w:t>
      </w:r>
    </w:p>
    <w:p w:rsidR="00000000" w:rsidDel="00000000" w:rsidP="00000000" w:rsidRDefault="00000000" w:rsidRPr="00000000" w14:paraId="0000007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7"/>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07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charged with an offence of fraudulent evasion. </w:t>
      </w:r>
    </w:p>
    <w:p w:rsidR="00000000" w:rsidDel="00000000" w:rsidP="00000000" w:rsidRDefault="00000000" w:rsidRPr="00000000" w14:paraId="0000007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(f) this condition is satisfied without any further steps being taken.</w:t>
      </w:r>
    </w:p>
    <w:p w:rsidR="00000000" w:rsidDel="00000000" w:rsidP="00000000" w:rsidRDefault="00000000" w:rsidRPr="00000000" w14:paraId="0000007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(g) the foreign equivalent to each of the corresponding steps set out above in (i) to (iii).</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0">
      <w:pPr>
        <w:pStyle w:val="Heading3"/>
        <w:keepNext w:val="0"/>
        <w:keepLines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81">
      <w:pPr>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83">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84">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85">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86">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8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2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5670.0" w:type="dxa"/>
        <w:jc w:val="left"/>
        <w:tblInd w:w="4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8A">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8B">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C">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D">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E">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SIGNATURE: </w:t>
            </w:r>
          </w:p>
        </w:tc>
      </w:tr>
    </w:tbl>
    <w:p w:rsidR="00000000" w:rsidDel="00000000" w:rsidP="00000000" w:rsidRDefault="00000000" w:rsidRPr="00000000" w14:paraId="0000008F">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spacing w:after="240" w:line="240" w:lineRule="auto"/>
        <w:jc w:val="right"/>
        <w:rPr/>
      </w:pPr>
      <w:r w:rsidDel="00000000" w:rsidR="00000000" w:rsidRPr="00000000">
        <w:rPr>
          <w:rtl w:val="0"/>
        </w:rPr>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https://www.iasplus.com/en/standards/ifrs/ifrs10</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“General Anti-Abuse Rule” means (a) the legislation in Part 5 of the Finance Act 2013; and (b) any</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future legislation introduced into Parliament to counteract tax advantages arising from abusive</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arrangements to avoid national insurance contributions</w:t>
      </w:r>
    </w:p>
  </w:footnote>
  <w:footnote w:id="3">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“Halifax Abuse Principle” means the principle explained in the CJEU Case C-255/02 Halifax and others</w:t>
      </w:r>
    </w:p>
  </w:footnote>
  <w:footnote w:id="4">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Targeted list of tax avoidance schemes that HMRC believes are being used to avoid paying tax due and which are listed on the Spotlight website: </w:t>
      </w:r>
      <w:hyperlink r:id="rId2">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https://www.gov.uk/government/collections/tax-avoidance-schemes-currently-in-the-spotlight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7">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9999999999998"/>
      </w:pPr>
      <w:rPr>
        <w:color w:val="000000"/>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0"/>
      <w:numFmt w:val="decimal"/>
      <w:lvlText w:val="%1."/>
      <w:lvlJc w:val="left"/>
      <w:pPr>
        <w:ind w:left="0" w:firstLine="0"/>
      </w:pPr>
      <w:rPr/>
    </w:lvl>
    <w:lvl w:ilvl="1">
      <w:start w:val="0"/>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720" w:hanging="360"/>
      </w:pPr>
      <w:rPr/>
    </w:lvl>
    <w:lvl w:ilvl="1">
      <w:start w:val="0"/>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5BY2ob7RQUUAMaSx5T3AytCJKA==">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gAciExUjA3ZUJQREk0clZqUGxKQm8xcHM3Ukh6LWdqVU1obH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